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79" w:rsidRPr="00636579" w:rsidRDefault="00636579" w:rsidP="006365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อนุมัติชุดวิชา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ในลักษณะ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non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degree </w:t>
      </w:r>
    </w:p>
    <w:p w:rsidR="00636579" w:rsidRPr="00636579" w:rsidRDefault="00636579" w:rsidP="006365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Upskill, Reskill, </w:t>
      </w:r>
      <w:proofErr w:type="spellStart"/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Newskill</w:t>
      </w:r>
      <w:proofErr w:type="spellEnd"/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ที่ไม่กำหนดไว้ในหลักสูตรระดับปริญญา</w:t>
      </w:r>
    </w:p>
    <w:p w:rsidR="00636579" w:rsidRPr="00636579" w:rsidRDefault="00636579" w:rsidP="006365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57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3657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6579">
        <w:rPr>
          <w:rFonts w:ascii="TH SarabunPSK" w:hAnsi="TH SarabunPSK" w:cs="TH SarabunPSK"/>
          <w:sz w:val="32"/>
          <w:szCs w:val="32"/>
          <w:cs/>
        </w:rPr>
        <w:t>.....</w:t>
      </w:r>
      <w:r w:rsidRPr="0063657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3657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640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4016">
        <w:rPr>
          <w:rFonts w:ascii="TH SarabunPSK" w:hAnsi="TH SarabunPSK" w:cs="TH SarabunPSK" w:hint="cs"/>
          <w:b/>
          <w:bCs/>
          <w:sz w:val="32"/>
          <w:szCs w:val="32"/>
          <w:cs/>
        </w:rPr>
        <w:t>/ ส่วนงาน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รหัสชุดวิชา (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ab/>
      </w: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ind w:right="-188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(ให้กำหนดรหัส ตามแนวปฏิบัติการกำหนดรหัสรายวิชา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>non</w:t>
      </w:r>
      <w:r w:rsidRPr="0063657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degree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ที่ไม่อยู่ในหลักสูตร ดังนี้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รหัสตัวที่ 1     หมายถึง  รหัสคณะ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รหัสตัวที่ 2-3  หมายถึง  รหัสภาควิชา/สาขาวิชา 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รหัสตัวที่ 4     กำหนดให้เป็น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N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ซึ่งหมายถึงประเภท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>non</w:t>
      </w:r>
      <w:r w:rsidRPr="0063657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>degree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รหัสตัวที่ 5-6  หมายถึง  ลำดับชุดวิชาในภาควิชาของคณะนั้น ๆ ตั้งแต่ 01-99    </w:t>
      </w:r>
    </w:p>
    <w:p w:rsidR="00636579" w:rsidRPr="00636579" w:rsidRDefault="00636579" w:rsidP="00636579">
      <w:pPr>
        <w:spacing w:after="0" w:line="240" w:lineRule="auto"/>
        <w:ind w:right="-18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ตัวอย่าง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 322-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N01 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มีความหมายดังนี้  3 หมายถึง คณะวิทยาศาสตร์ 22 หมายถึง ภาควิชาคณิตศาสตร์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N 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หมายถึง ประเภท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>non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degree 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 01 หมายถึง ลำดับชุดวิชาในภาควิชาคณิตศาสตร์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ลำดับที่ 1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สามารถดูรายละเอียดได้จากเว็บไซต์ สำนักการศึกษาและนวัตกรรมการเรียนรู้  </w:t>
      </w:r>
    </w:p>
    <w:p w:rsidR="00636579" w:rsidRPr="00636579" w:rsidRDefault="00F7604F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hyperlink r:id="rId7" w:history="1"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https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://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eila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psu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ac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th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document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nondegree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news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v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63-0258.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pdf</w:t>
        </w:r>
      </w:hyperlink>
      <w:r w:rsidR="00636579" w:rsidRPr="0063657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4. จำนวนหน่วยกิต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(หน่วยกิตรวมไม่ควรต่ำกว่า 5 หน่วยกิต โดยจะต้องมีปฎิบัติไม่ต่ำกว่า 1 หน่วยกิต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 5 ((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)-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ในกรณีที่จำนวนหน่วยกิต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น้อยกว่า</w:t>
      </w: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ที่กำหนด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ให้เสนอเพื่อขอพิจารณาเป็นกรณีพิเศษ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 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 (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>Module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90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ภาษาไทย และภาษาอังกฤษ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คำอธิบายชุดวิชา (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Cs w:val="22"/>
        </w:rPr>
      </w:pP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เนื้อหาชุดวิชา   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2. ผลลัพธ์การเรียนรู้ของชุดวิชา</w:t>
      </w:r>
    </w:p>
    <w:p w:rsid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Cs w:val="2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  (ภาษาไทย)   </w:t>
      </w:r>
      <w:r w:rsidRPr="00636579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</w:rPr>
        <w:t xml:space="preserve"> เขียนขอบเขต โดยเขียนเป็นวลี  กระชับ  มีเฉพาะเนื้อหาโดยไม่ต้องมีส่วนของกระบวนการ   เช่น   คำว่า</w:t>
      </w:r>
      <w:r w:rsidRPr="00636579">
        <w:rPr>
          <w:rFonts w:ascii="TH SarabunPSK" w:eastAsia="Calibri" w:hAnsi="TH SarabunPSK" w:cs="TH SarabunPSK"/>
          <w:b/>
          <w:bCs/>
          <w:color w:val="0070C0"/>
          <w:spacing w:val="6"/>
          <w:sz w:val="32"/>
          <w:szCs w:val="32"/>
          <w:cs/>
        </w:rPr>
        <w:t xml:space="preserve">  ศึกษา....... เป็นวิชาที่ว่าด้วย....... ให้นักศึกษา.......   เป็นต้น   </w:t>
      </w:r>
      <w:r w:rsidRPr="00636579">
        <w:rPr>
          <w:rFonts w:ascii="TH SarabunPSK" w:eastAsia="Calibri" w:hAnsi="TH SarabunPSK" w:cs="TH SarabunPSK"/>
          <w:b/>
          <w:bCs/>
          <w:color w:val="0070C0"/>
          <w:spacing w:val="8"/>
          <w:sz w:val="32"/>
          <w:szCs w:val="32"/>
          <w:cs/>
        </w:rPr>
        <w:t>และไม่ใช้เครื่องหมายวรรคตอน   กรณีเป็นศัพท์เฉพาะที่เป็นคำภาษาอังกฤษให้เขียนเป็นภาษาไทยตามที่</w:t>
      </w:r>
      <w:r w:rsidRPr="00636579">
        <w:rPr>
          <w:rFonts w:ascii="TH SarabunPSK" w:eastAsia="Calibri" w:hAnsi="TH SarabunPSK" w:cs="TH SarabunPSK"/>
          <w:b/>
          <w:bCs/>
          <w:color w:val="0070C0"/>
          <w:spacing w:val="-4"/>
          <w:sz w:val="32"/>
          <w:szCs w:val="32"/>
          <w:cs/>
        </w:rPr>
        <w:t>ราชบัณฑิตยสภากำหนด    กรณีไม่มีศัพท์เฉพาะ ให้เขียนทับศัพท์ เป็นภาษาไทยตามหลักเกณฑ์ที่ราชบัณฑิตยสภา</w:t>
      </w:r>
      <w:r w:rsidRPr="00636579">
        <w:rPr>
          <w:rFonts w:ascii="TH SarabunPSK" w:eastAsia="Calibri" w:hAnsi="TH SarabunPSK" w:cs="TH SarabunPSK"/>
          <w:b/>
          <w:bCs/>
          <w:color w:val="0070C0"/>
          <w:spacing w:val="6"/>
          <w:sz w:val="32"/>
          <w:szCs w:val="32"/>
          <w:cs/>
        </w:rPr>
        <w:t>กำหนด</w:t>
      </w:r>
      <w:r w:rsidRPr="00636579">
        <w:rPr>
          <w:rFonts w:ascii="TH SarabunPSK" w:eastAsia="Calibri" w:hAnsi="TH SarabunPSK" w:cs="TH SarabunPSK"/>
          <w:b/>
          <w:bCs/>
          <w:color w:val="0070C0"/>
          <w:szCs w:val="22"/>
          <w:cs/>
        </w:rPr>
        <w:t xml:space="preserve"> </w:t>
      </w:r>
    </w:p>
    <w:p w:rsid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Cs w:val="22"/>
        </w:rPr>
      </w:pP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Cs w:val="22"/>
        </w:rPr>
      </w:pP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Cs w:val="22"/>
        </w:rPr>
      </w:pPr>
      <w:r w:rsidRPr="00636579">
        <w:rPr>
          <w:rFonts w:ascii="TH SarabunPSK" w:eastAsia="Calibri" w:hAnsi="TH SarabunPSK" w:cs="TH SarabunPSK" w:hint="cs"/>
          <w:b/>
          <w:bCs/>
          <w:color w:val="0070C0"/>
          <w:szCs w:val="22"/>
          <w:cs/>
        </w:rPr>
        <w:t xml:space="preserve">             </w:t>
      </w:r>
      <w:r w:rsidRPr="00636579">
        <w:rPr>
          <w:rFonts w:ascii="TH SarabunPSK" w:eastAsia="Calibri" w:hAnsi="TH SarabunPSK" w:cs="TH SarabunPSK"/>
          <w:b/>
          <w:bCs/>
          <w:color w:val="0070C0"/>
          <w:szCs w:val="32"/>
          <w:cs/>
        </w:rPr>
        <w:t>ย่อหน้าด้วยการระบุผลลัพธ์การเรียนรู้ระดับรายวิชา โดยระบุเป็นข้อๆ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         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>1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….…..</w:t>
      </w:r>
      <w:proofErr w:type="gramEnd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…...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 xml:space="preserve">         2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</w:t>
      </w:r>
      <w:proofErr w:type="gramEnd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….… 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C45911" w:themeColor="accent2" w:themeShade="BF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 xml:space="preserve">         3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……………………………………………………………………………………….…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</w:t>
      </w:r>
      <w:proofErr w:type="gramEnd"/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C45911" w:themeColor="accent2" w:themeShade="BF"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lastRenderedPageBreak/>
        <w:t xml:space="preserve">           (ภาษาอังกฤษ)   ให้ขึ้นต้นอักษรแรกด้วยตัวพิมพ์ใหญ่ ที่เหลือใช้ตัวพิมพ์เล็ก</w:t>
      </w:r>
      <w:r w:rsidRPr="00636579">
        <w:rPr>
          <w:rFonts w:ascii="TH SarabunPSK" w:hAnsi="TH SarabunPSK" w:cs="TH SarabunPSK"/>
          <w:b/>
          <w:bCs/>
          <w:color w:val="0070C0"/>
          <w:spacing w:val="4"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/>
          <w:b/>
          <w:bCs/>
          <w:color w:val="0070C0"/>
          <w:spacing w:val="-4"/>
          <w:sz w:val="32"/>
          <w:szCs w:val="32"/>
          <w:cs/>
        </w:rPr>
        <w:t>ยกเว้นชื่อเฉพาะ และ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ใช้เครื่องหมายวรรคตอน  ระหว่างวลีที่มีเนื้อหาเดียวกันหรือสัมพันธ์กันในกลุ่มเนื้อหาเดียวกันด้วยเครื่องหมาย</w:t>
      </w:r>
      <w:r w:rsidRPr="00636579">
        <w:rPr>
          <w:rFonts w:ascii="TH SarabunPSK" w:hAnsi="TH SarabunPSK" w:cs="TH SarabunPSK"/>
          <w:b/>
          <w:bCs/>
          <w:color w:val="0070C0"/>
          <w:spacing w:val="4"/>
          <w:sz w:val="32"/>
          <w:szCs w:val="32"/>
          <w:cs/>
        </w:rPr>
        <w:t>จุลภาค   และเมื่อหมดกลุ่มเนื้อหานั้น  ให้คั่นด้วยเครื่องหมายอัฒภาค (</w:t>
      </w:r>
      <w:r w:rsidRPr="00636579">
        <w:rPr>
          <w:rFonts w:ascii="TH SarabunPSK" w:hAnsi="TH SarabunPSK" w:cs="TH SarabunPSK"/>
          <w:b/>
          <w:bCs/>
          <w:color w:val="0070C0"/>
          <w:spacing w:val="4"/>
          <w:sz w:val="32"/>
          <w:szCs w:val="32"/>
        </w:rPr>
        <w:t>;</w:t>
      </w:r>
      <w:r w:rsidRPr="00636579">
        <w:rPr>
          <w:rFonts w:ascii="TH SarabunPSK" w:hAnsi="TH SarabunPSK" w:cs="TH SarabunPSK"/>
          <w:b/>
          <w:bCs/>
          <w:color w:val="0070C0"/>
          <w:spacing w:val="4"/>
          <w:sz w:val="32"/>
          <w:szCs w:val="32"/>
          <w:cs/>
        </w:rPr>
        <w:t xml:space="preserve">)  สลับกันไปจนจบคำอธิบายรายวิชา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โดยไม่ต้องมีเครื่องหมายมหัพภาค (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>full stop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)  </w:t>
      </w: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4"/>
          <w:sz w:val="24"/>
          <w:szCs w:val="24"/>
        </w:rPr>
      </w:pPr>
    </w:p>
    <w:p w:rsidR="00636579" w:rsidRPr="00636579" w:rsidRDefault="00636579" w:rsidP="006365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6"/>
          <w:szCs w:val="6"/>
        </w:rPr>
      </w:pP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         </w:t>
      </w:r>
      <w:r w:rsidRPr="00636579">
        <w:rPr>
          <w:rFonts w:ascii="TH SarabunPSK" w:hAnsi="TH SarabunPSK" w:cs="TH SarabunPSK"/>
          <w:b/>
          <w:bCs/>
          <w:color w:val="0070C0"/>
          <w:sz w:val="32"/>
          <w:szCs w:val="32"/>
        </w:rPr>
        <w:t>Learning Outcome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               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>1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….…..</w:t>
      </w:r>
      <w:proofErr w:type="gramEnd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…...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               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>2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</w:t>
      </w:r>
      <w:proofErr w:type="gramEnd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….… </w:t>
      </w:r>
    </w:p>
    <w:p w:rsidR="00636579" w:rsidRPr="00636579" w:rsidRDefault="00636579" w:rsidP="0063657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 xml:space="preserve">               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</w:rPr>
        <w:t>3</w:t>
      </w:r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……………………………………………………………………………………….…</w:t>
      </w:r>
      <w:proofErr w:type="gramStart"/>
      <w:r w:rsidRPr="00636579">
        <w:rPr>
          <w:rFonts w:ascii="TH SarabunPSK" w:hAnsi="TH SarabunPSK" w:cs="TH SarabunPSK"/>
          <w:b/>
          <w:bCs/>
          <w:color w:val="0070C0"/>
          <w:spacing w:val="-2"/>
          <w:sz w:val="32"/>
          <w:szCs w:val="32"/>
          <w:cs/>
        </w:rPr>
        <w:t>…..</w:t>
      </w:r>
      <w:proofErr w:type="gramEnd"/>
    </w:p>
    <w:p w:rsidR="00636579" w:rsidRPr="00636579" w:rsidRDefault="00636579" w:rsidP="00636579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สรุปสมรรถนะ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เด่น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ที่คาดหวังสำหรับผู้เรียน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เขียนเป็นคำบรรยายที่ใช้ในการประชาสัมพันธ์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>บนเว็บไซต์ของมหาวิทยาลัย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(ไม่เกิน 2 บรรทัด)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ชุดวิชา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ตอบสนองความต้องการในกลุ่มอุตสาหกรรม 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>curve,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>New S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b/>
          <w:bCs/>
          <w:sz w:val="32"/>
          <w:szCs w:val="32"/>
        </w:rPr>
        <w:t xml:space="preserve">curve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ตอบ (โปรดระบุประเภทอุตสาหกรรม</w:t>
      </w:r>
      <w:r w:rsidRPr="00636579">
        <w:rPr>
          <w:rFonts w:ascii="TH SarabunPSK" w:hAnsi="TH SarabunPSK" w:cs="TH SarabunPSK" w:hint="cs"/>
          <w:sz w:val="32"/>
          <w:szCs w:val="32"/>
          <w:cs/>
        </w:rPr>
        <w:t>)</w:t>
      </w:r>
      <w:r w:rsidRPr="006365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ไม่ตอบ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รูปแบบการจัดการเรียนการสอน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ชั้นเรียน (</w:t>
      </w:r>
      <w:r w:rsidRPr="00636579">
        <w:rPr>
          <w:rFonts w:ascii="TH SarabunPSK" w:hAnsi="TH SarabunPSK" w:cs="TH SarabunPSK"/>
          <w:sz w:val="32"/>
          <w:szCs w:val="32"/>
        </w:rPr>
        <w:t>on</w:t>
      </w:r>
      <w:r w:rsidRPr="00636579">
        <w:rPr>
          <w:rFonts w:ascii="TH SarabunPSK" w:hAnsi="TH SarabunPSK" w:cs="TH SarabunPSK"/>
          <w:sz w:val="32"/>
          <w:szCs w:val="32"/>
          <w:cs/>
        </w:rPr>
        <w:t>-</w:t>
      </w:r>
      <w:r w:rsidRPr="00636579">
        <w:rPr>
          <w:rFonts w:ascii="TH SarabunPSK" w:hAnsi="TH SarabunPSK" w:cs="TH SarabunPSK"/>
          <w:sz w:val="32"/>
          <w:szCs w:val="32"/>
        </w:rPr>
        <w:t>site</w:t>
      </w:r>
      <w:r w:rsidRPr="00636579">
        <w:rPr>
          <w:rFonts w:ascii="TH SarabunPSK" w:hAnsi="TH SarabunPSK" w:cs="TH SarabunPSK"/>
          <w:sz w:val="32"/>
          <w:szCs w:val="32"/>
          <w:cs/>
        </w:rPr>
        <w:t>) 100 %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ออนไลน์ (</w:t>
      </w:r>
      <w:r w:rsidRPr="00636579">
        <w:rPr>
          <w:rFonts w:ascii="TH SarabunPSK" w:hAnsi="TH SarabunPSK" w:cs="TH SarabunPSK"/>
          <w:sz w:val="32"/>
          <w:szCs w:val="32"/>
        </w:rPr>
        <w:t>online</w:t>
      </w:r>
      <w:r w:rsidRPr="00636579">
        <w:rPr>
          <w:rFonts w:ascii="TH SarabunPSK" w:hAnsi="TH SarabunPSK" w:cs="TH SarabunPSK"/>
          <w:sz w:val="32"/>
          <w:szCs w:val="32"/>
          <w:cs/>
        </w:rPr>
        <w:t>) 100 %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แบบผสมชั้นเรียนและออนไลน์ (</w:t>
      </w:r>
      <w:r w:rsidRPr="00636579">
        <w:rPr>
          <w:rFonts w:ascii="TH SarabunPSK" w:hAnsi="TH SarabunPSK" w:cs="TH SarabunPSK"/>
          <w:sz w:val="32"/>
          <w:szCs w:val="32"/>
        </w:rPr>
        <w:t>Hybrid</w:t>
      </w:r>
      <w:r w:rsidRPr="00636579">
        <w:rPr>
          <w:rFonts w:ascii="TH SarabunPSK" w:hAnsi="TH SarabunPSK" w:cs="TH SarabunPSK"/>
          <w:sz w:val="32"/>
          <w:szCs w:val="32"/>
          <w:cs/>
        </w:rPr>
        <w:t>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อื่นๆ ระบุ .........................................................................................................................</w:t>
      </w:r>
    </w:p>
    <w:p w:rsid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กลุ่มผู้เรียนเป้าหมาย (ที่ไม่ใช่นักศึกษาในหลักสูตร) (โปรดระบุเป็นข้อ 1,2,3)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เช่น 1. บุคคลทั่วไป 2. ผู้ที่ทำงานบริษัทเอกชนที่ทำ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MOU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ร่วมกันในการพัฒนาพนักงาน เป็นต้น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ประเมินผล </w:t>
      </w:r>
      <w:r w:rsidR="00636579"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(ให้เลือกอย่างใดอย่างหนึ่ง)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ระดับคะแนน (</w:t>
      </w:r>
      <w:r w:rsidRPr="00636579">
        <w:rPr>
          <w:rFonts w:ascii="TH SarabunPSK" w:hAnsi="TH SarabunPSK" w:cs="TH SarabunPSK"/>
          <w:sz w:val="32"/>
          <w:szCs w:val="32"/>
        </w:rPr>
        <w:t>A,</w:t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579">
        <w:rPr>
          <w:rFonts w:ascii="TH SarabunPSK" w:hAnsi="TH SarabunPSK" w:cs="TH SarabunPSK"/>
          <w:sz w:val="32"/>
          <w:szCs w:val="32"/>
        </w:rPr>
        <w:t>B</w:t>
      </w:r>
      <w:r w:rsidRPr="00636579">
        <w:rPr>
          <w:rFonts w:ascii="TH SarabunPSK" w:hAnsi="TH SarabunPSK" w:cs="TH SarabunPSK"/>
          <w:sz w:val="32"/>
          <w:szCs w:val="32"/>
          <w:cs/>
        </w:rPr>
        <w:t>+</w:t>
      </w:r>
      <w:r w:rsidRPr="00636579">
        <w:rPr>
          <w:rFonts w:ascii="TH SarabunPSK" w:hAnsi="TH SarabunPSK" w:cs="TH SarabunPSK"/>
          <w:sz w:val="32"/>
          <w:szCs w:val="32"/>
        </w:rPr>
        <w:t>, B</w:t>
      </w:r>
      <w:r w:rsidRPr="00636579">
        <w:rPr>
          <w:rFonts w:ascii="TH SarabunPSK" w:hAnsi="TH SarabunPSK" w:cs="TH SarabunPSK"/>
          <w:sz w:val="32"/>
          <w:szCs w:val="32"/>
          <w:cs/>
        </w:rPr>
        <w:t>...</w:t>
      </w:r>
      <w:r w:rsidRPr="00636579">
        <w:rPr>
          <w:rFonts w:ascii="TH SarabunPSK" w:hAnsi="TH SarabunPSK" w:cs="TH SarabunPSK"/>
          <w:sz w:val="32"/>
          <w:szCs w:val="32"/>
        </w:rPr>
        <w:t>, E</w:t>
      </w:r>
      <w:r w:rsidRPr="00636579">
        <w:rPr>
          <w:rFonts w:ascii="TH SarabunPSK" w:hAnsi="TH SarabunPSK" w:cs="TH SarabunPSK"/>
          <w:sz w:val="32"/>
          <w:szCs w:val="32"/>
          <w:cs/>
        </w:rPr>
        <w:t>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สัญลักษณ์ (</w:t>
      </w:r>
      <w:r w:rsidRPr="00636579">
        <w:rPr>
          <w:rFonts w:ascii="TH SarabunPSK" w:hAnsi="TH SarabunPSK" w:cs="TH SarabunPSK"/>
          <w:sz w:val="32"/>
          <w:szCs w:val="32"/>
        </w:rPr>
        <w:t>G, P, F</w:t>
      </w:r>
      <w:r w:rsidRPr="00636579">
        <w:rPr>
          <w:rFonts w:ascii="TH SarabunPSK" w:hAnsi="TH SarabunPSK" w:cs="TH SarabunPSK"/>
          <w:sz w:val="32"/>
          <w:szCs w:val="32"/>
          <w:cs/>
        </w:rPr>
        <w:t>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อัตราค่าเล่าเรียนของชุดวิชา (บาท/คน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36579" w:rsidRPr="00636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579" w:rsidRPr="006365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36579"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lastRenderedPageBreak/>
        <w:t xml:space="preserve">      การกำหนดอัตราค่าเล่าเรียน หลักสูตรสามารถกำหนดได้เอง ทั้งนี้ สามารถดูรายละเอียดได้จากเว็บไซต์ สำนักการศึกษาและนวัตกรรมการเรียนรู้  </w:t>
      </w:r>
    </w:p>
    <w:p w:rsidR="00636579" w:rsidRPr="00636579" w:rsidRDefault="00F7604F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hyperlink r:id="rId8" w:history="1"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https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://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eila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psu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ac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.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th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document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proofErr w:type="spellStart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nondegree</w:t>
        </w:r>
        <w:proofErr w:type="spellEnd"/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news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/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m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  <w:cs/>
          </w:rPr>
          <w:t>63-580.</w:t>
        </w:r>
        <w:r w:rsidR="00636579" w:rsidRPr="00636579">
          <w:rPr>
            <w:rStyle w:val="Hyperlink"/>
            <w:rFonts w:ascii="TH SarabunPSK" w:hAnsi="TH SarabunPSK" w:cs="TH SarabunPSK"/>
            <w:b/>
            <w:bCs/>
            <w:color w:val="0070C0"/>
            <w:sz w:val="32"/>
            <w:szCs w:val="32"/>
          </w:rPr>
          <w:t>pdf</w:t>
        </w:r>
      </w:hyperlink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การเปิดรับผู้เรียน</w:t>
      </w:r>
    </w:p>
    <w:p w:rsidR="00636579" w:rsidRPr="00636579" w:rsidRDefault="00535C26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.1 จำนวนรุ่นที่เปิดต่อปี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.2 จำนวนผู้เรียนต่อรุ่น (ไม่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>ควร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ต่ำกว่า 30 คน)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.3 ภาคการศึกษาที่เปิดสอน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sz w:val="6"/>
          <w:szCs w:val="6"/>
        </w:rPr>
      </w:pP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ภาคการศึกษาที่ 2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sz w:val="6"/>
          <w:szCs w:val="6"/>
        </w:rPr>
      </w:pP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ไม่เปิดตามภาคการศึกษา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ind w:right="-988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 ระยะเวลา</w:t>
      </w:r>
      <w:r w:rsidR="00636579"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เรียนของ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แต่ละรุ่น</w:t>
      </w:r>
      <w:r w:rsidR="00636579"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36579" w:rsidRPr="00636579" w:rsidRDefault="00636579" w:rsidP="00636579">
      <w:pPr>
        <w:spacing w:after="0" w:line="240" w:lineRule="auto"/>
        <w:ind w:right="-988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(โปรดระบุระยะเวลาเริ่มและสิ้นสุด เช่น รุ่นที่ 1 เริ่ม ก.ค.2563 สิ้นสุด ก.ย.2563 เป็นต้น)</w:t>
      </w:r>
    </w:p>
    <w:p w:rsidR="00636579" w:rsidRPr="00636579" w:rsidRDefault="00636579" w:rsidP="0063657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63657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แบบที่ 1 ร่วมเรียนกับนักศึกษาในหลักสูตรปริญญา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แบบที่ 2 แยกกลุ่มเรียนเฉพาะ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จัดทั้งแบบที่ 1 และแบบที่ 2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กับหน่วยงานภายนอกหรือไม่</w:t>
      </w:r>
    </w:p>
    <w:p w:rsidR="00636579" w:rsidRPr="00636579" w:rsidRDefault="00636579" w:rsidP="0063657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6"/>
          <w:szCs w:val="6"/>
        </w:rPr>
      </w:pPr>
      <w:r w:rsidRPr="00636579">
        <w:rPr>
          <w:rFonts w:ascii="Arial" w:eastAsia="Times New Roman" w:hAnsi="Arial" w:cs="Angsana New" w:hint="cs"/>
          <w:color w:val="202124"/>
          <w:spacing w:val="3"/>
          <w:sz w:val="32"/>
          <w:szCs w:val="32"/>
          <w:cs/>
        </w:rPr>
        <w:t xml:space="preserve">        </w:t>
      </w:r>
      <w:r w:rsidRPr="00636579">
        <w:rPr>
          <w:rFonts w:ascii="TH SarabunPSK" w:eastAsia="Times New Roman" w:hAnsi="TH SarabunPSK" w:cs="TH SarabunPSK"/>
          <w:color w:val="202124"/>
          <w:spacing w:val="3"/>
          <w:sz w:val="32"/>
          <w:szCs w:val="32"/>
        </w:rPr>
        <w:sym w:font="Wingdings 2" w:char="F035"/>
      </w:r>
      <w:r w:rsidRPr="00636579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 xml:space="preserve">  มี</w:t>
      </w:r>
      <w:r w:rsidRPr="00636579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(โปรดระบุหน่วยงาน) ..................................................................................................................</w:t>
      </w:r>
    </w:p>
    <w:p w:rsidR="00636579" w:rsidRPr="00636579" w:rsidRDefault="00636579" w:rsidP="0063657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36579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   </w:t>
      </w:r>
      <w:r w:rsidRPr="00636579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</w:rPr>
        <w:sym w:font="Wingdings 2" w:char="F035"/>
      </w:r>
      <w:r w:rsidRPr="00636579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</w:t>
      </w:r>
      <w:r w:rsidRPr="00636579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ไม่มี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รูปแบบกิจกรรมของ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จัดการเรียนการสอนร่วมกัน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ผลิตบัณฑิตให้คู่ความร่วมมือ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3657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579">
        <w:rPr>
          <w:rFonts w:ascii="TH SarabunPSK" w:hAnsi="TH SarabunPSK" w:cs="TH SarabunPSK"/>
          <w:sz w:val="32"/>
          <w:szCs w:val="32"/>
          <w:cs/>
        </w:rPr>
        <w:t>อื่นๆ โปรดระบุ</w:t>
      </w:r>
      <w:r w:rsidRPr="0063657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  <w:r w:rsidR="00535C2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ชื่อผู้ประสานงานชุดวิชา 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535C2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หมายเลขโทรศัพท์ที่</w:t>
      </w:r>
      <w:r w:rsidR="00636579" w:rsidRPr="00636579">
        <w:rPr>
          <w:rFonts w:ascii="TH SarabunPSK" w:hAnsi="TH SarabunPSK" w:cs="TH SarabunPSK"/>
          <w:b/>
          <w:bCs/>
          <w:sz w:val="32"/>
          <w:szCs w:val="32"/>
          <w:cs/>
        </w:rPr>
        <w:t>ติดต่อ</w:t>
      </w:r>
      <w:r w:rsidR="00636579"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5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35C26">
        <w:rPr>
          <w:rFonts w:ascii="TH SarabunPSK" w:hAnsi="TH SarabunPSK" w:cs="TH SarabunPSK"/>
          <w:sz w:val="32"/>
          <w:szCs w:val="32"/>
          <w:cs/>
        </w:rPr>
        <w:t>......</w:t>
      </w:r>
      <w:r w:rsidRPr="00636579">
        <w:rPr>
          <w:rFonts w:ascii="TH SarabunPSK" w:hAnsi="TH SarabunPSK" w:cs="TH SarabunPSK"/>
          <w:sz w:val="32"/>
          <w:szCs w:val="32"/>
          <w:cs/>
        </w:rPr>
        <w:t>........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36579" w:rsidRPr="006365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mail 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(เฉพาะ 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mail </w:t>
      </w:r>
      <w:proofErr w:type="spellStart"/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psu</w:t>
      </w:r>
      <w:proofErr w:type="spellEnd"/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36579" w:rsidRPr="006365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เท่านั้น)</w:t>
      </w:r>
    </w:p>
    <w:p w:rsidR="00636579" w:rsidRDefault="00535C26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535C26">
        <w:rPr>
          <w:rFonts w:ascii="TH SarabunPSK" w:hAnsi="TH SarabunPSK" w:cs="TH SarabunPSK"/>
          <w:sz w:val="32"/>
          <w:szCs w:val="32"/>
          <w:cs/>
        </w:rPr>
        <w:t>..</w:t>
      </w:r>
    </w:p>
    <w:p w:rsidR="00535C26" w:rsidRPr="00636579" w:rsidRDefault="00535C26" w:rsidP="00636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ตัวอักษรสีน้ำเงิน คือ คำอธิบายของหัวข้อนั้น ๆ (ในการจัดทำข้อมูล ขอให้ตัดออก)</w:t>
      </w:r>
    </w:p>
    <w:p w:rsidR="00636579" w:rsidRPr="00636579" w:rsidRDefault="00636579" w:rsidP="0063657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65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ตัวอักษรสีแดง คือ ตัวอย่างการเขียน </w:t>
      </w:r>
      <w:r w:rsidRPr="006365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(ในการจัดทำข้อมูล ขอให้ตัดออก)</w:t>
      </w:r>
    </w:p>
    <w:p w:rsidR="00535C26" w:rsidRDefault="00535C26" w:rsidP="0063657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6579" w:rsidRPr="00535C26" w:rsidRDefault="00535C26" w:rsidP="00535C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3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สอบถามรายละเอียดเพิ่มเติมได้ที่  คุณกาญจนา  กองสวัสดิ์</w:t>
      </w:r>
    </w:p>
    <w:p w:rsidR="00636579" w:rsidRPr="00535C26" w:rsidRDefault="00B9023D" w:rsidP="00535C26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ฝ่ายส่งเสริมและพัฒนาหลักสูตร </w:t>
      </w:r>
      <w:bookmarkStart w:id="0" w:name="_GoBack"/>
      <w:bookmarkEnd w:id="0"/>
      <w:r w:rsidR="00535C26" w:rsidRPr="0053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สำนักการศึกษาและนวัตกรรมการเรียนรู้</w:t>
      </w:r>
    </w:p>
    <w:p w:rsidR="00636579" w:rsidRDefault="00535C26" w:rsidP="00535C26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3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074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289225 </w:t>
      </w:r>
      <w:r w:rsidRPr="0053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mail </w:t>
      </w:r>
      <w:r w:rsidRPr="00535C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F7604F">
        <w:fldChar w:fldCharType="begin"/>
      </w:r>
      <w:r w:rsidR="00F7604F">
        <w:instrText xml:space="preserve"> HYPERLINK </w:instrText>
      </w:r>
      <w:r w:rsidR="00F7604F">
        <w:rPr>
          <w:rFonts w:cs="Angsana New"/>
          <w:szCs w:val="22"/>
          <w:cs/>
        </w:rPr>
        <w:instrText>"</w:instrText>
      </w:r>
      <w:r w:rsidR="00F7604F">
        <w:instrText>mailto</w:instrText>
      </w:r>
      <w:r w:rsidR="00F7604F">
        <w:rPr>
          <w:rFonts w:cs="Angsana New"/>
          <w:szCs w:val="22"/>
          <w:cs/>
        </w:rPr>
        <w:instrText>:</w:instrText>
      </w:r>
      <w:r w:rsidR="00F7604F">
        <w:instrText>kanjana</w:instrText>
      </w:r>
      <w:r w:rsidR="00F7604F">
        <w:rPr>
          <w:rFonts w:cs="Angsana New"/>
          <w:szCs w:val="22"/>
          <w:cs/>
        </w:rPr>
        <w:instrText>.</w:instrText>
      </w:r>
      <w:r w:rsidR="00F7604F">
        <w:instrText>ko@psu</w:instrText>
      </w:r>
      <w:r w:rsidR="00F7604F">
        <w:rPr>
          <w:rFonts w:cs="Angsana New"/>
          <w:szCs w:val="22"/>
          <w:cs/>
        </w:rPr>
        <w:instrText>.</w:instrText>
      </w:r>
      <w:r w:rsidR="00F7604F">
        <w:instrText>ac</w:instrText>
      </w:r>
      <w:r w:rsidR="00F7604F">
        <w:rPr>
          <w:rFonts w:cs="Angsana New"/>
          <w:szCs w:val="22"/>
          <w:cs/>
        </w:rPr>
        <w:instrText>.</w:instrText>
      </w:r>
      <w:r w:rsidR="00F7604F">
        <w:instrText>th</w:instrText>
      </w:r>
      <w:r w:rsidR="00F7604F">
        <w:rPr>
          <w:rFonts w:cs="Angsana New"/>
          <w:szCs w:val="22"/>
          <w:cs/>
        </w:rPr>
        <w:instrText xml:space="preserve">" </w:instrText>
      </w:r>
      <w:r w:rsidR="00F7604F">
        <w:fldChar w:fldCharType="separate"/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</w:rPr>
        <w:t>kanjana</w:t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</w:rPr>
        <w:t>ko@psu</w:t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</w:rPr>
        <w:t>ac</w:t>
      </w:r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713202">
        <w:rPr>
          <w:rStyle w:val="Hyperlink"/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="00F7604F">
        <w:rPr>
          <w:rStyle w:val="Hyperlink"/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535C26" w:rsidRPr="00535C26" w:rsidRDefault="00535C26" w:rsidP="00535C26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6579" w:rsidRPr="00535C26" w:rsidRDefault="00636579" w:rsidP="00636579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color w:val="7F7F7F" w:themeColor="text1" w:themeTint="80"/>
          <w:sz w:val="28"/>
        </w:rPr>
      </w:pPr>
      <w:r w:rsidRPr="00535C26">
        <w:rPr>
          <w:rFonts w:ascii="TH SarabunPSK" w:hAnsi="TH SarabunPSK" w:cs="TH SarabunPSK" w:hint="cs"/>
          <w:b/>
          <w:bCs/>
          <w:i/>
          <w:iCs/>
          <w:color w:val="7F7F7F" w:themeColor="text1" w:themeTint="80"/>
          <w:sz w:val="28"/>
          <w:cs/>
        </w:rPr>
        <w:t xml:space="preserve">(ฉบับปรับปรุงเมื่อวันที่ </w:t>
      </w:r>
      <w:r w:rsidR="00B9023D">
        <w:rPr>
          <w:rFonts w:ascii="TH SarabunPSK" w:hAnsi="TH SarabunPSK" w:cs="TH SarabunPSK" w:hint="cs"/>
          <w:b/>
          <w:bCs/>
          <w:i/>
          <w:iCs/>
          <w:color w:val="7F7F7F" w:themeColor="text1" w:themeTint="80"/>
          <w:sz w:val="28"/>
          <w:cs/>
        </w:rPr>
        <w:t>25 มกราคม 2565</w:t>
      </w:r>
      <w:r w:rsidRPr="00535C26">
        <w:rPr>
          <w:rFonts w:ascii="TH SarabunPSK" w:hAnsi="TH SarabunPSK" w:cs="TH SarabunPSK" w:hint="cs"/>
          <w:b/>
          <w:bCs/>
          <w:i/>
          <w:iCs/>
          <w:color w:val="7F7F7F" w:themeColor="text1" w:themeTint="80"/>
          <w:sz w:val="28"/>
          <w:cs/>
        </w:rPr>
        <w:t>)</w:t>
      </w:r>
    </w:p>
    <w:p w:rsidR="00444EBD" w:rsidRDefault="00444EBD"/>
    <w:sectPr w:rsidR="00444EBD" w:rsidSect="001A242E">
      <w:headerReference w:type="default" r:id="rId9"/>
      <w:pgSz w:w="11906" w:h="16838" w:code="9"/>
      <w:pgMar w:top="1440" w:right="1133" w:bottom="1134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4F" w:rsidRDefault="00F7604F">
      <w:pPr>
        <w:spacing w:after="0" w:line="240" w:lineRule="auto"/>
      </w:pPr>
      <w:r>
        <w:separator/>
      </w:r>
    </w:p>
  </w:endnote>
  <w:endnote w:type="continuationSeparator" w:id="0">
    <w:p w:rsidR="00F7604F" w:rsidRDefault="00F7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4F" w:rsidRDefault="00F7604F">
      <w:pPr>
        <w:spacing w:after="0" w:line="240" w:lineRule="auto"/>
      </w:pPr>
      <w:r>
        <w:separator/>
      </w:r>
    </w:p>
  </w:footnote>
  <w:footnote w:type="continuationSeparator" w:id="0">
    <w:p w:rsidR="00F7604F" w:rsidRDefault="00F7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4589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35ACC" w:rsidRPr="00F35ACC" w:rsidRDefault="00A7535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35AC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5AC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35AC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35AC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35AC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023D">
          <w:rPr>
            <w:rFonts w:ascii="TH SarabunPSK" w:hAnsi="TH SarabunPSK" w:cs="TH SarabunPSK"/>
            <w:noProof/>
            <w:sz w:val="32"/>
            <w:szCs w:val="32"/>
          </w:rPr>
          <w:t>- 1 -</w:t>
        </w:r>
        <w:r w:rsidRPr="00F35AC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55B60" w:rsidRDefault="00F7604F" w:rsidP="00F35A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468"/>
      </v:shape>
    </w:pict>
  </w:numPicBullet>
  <w:abstractNum w:abstractNumId="0" w15:restartNumberingAfterBreak="0">
    <w:nsid w:val="54DC4B43"/>
    <w:multiLevelType w:val="hybridMultilevel"/>
    <w:tmpl w:val="99E6B9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79"/>
    <w:rsid w:val="000017ED"/>
    <w:rsid w:val="00186A02"/>
    <w:rsid w:val="001E46DC"/>
    <w:rsid w:val="003537D4"/>
    <w:rsid w:val="00364016"/>
    <w:rsid w:val="00444EBD"/>
    <w:rsid w:val="00535C26"/>
    <w:rsid w:val="005C60FA"/>
    <w:rsid w:val="00636579"/>
    <w:rsid w:val="007949B3"/>
    <w:rsid w:val="00A7535D"/>
    <w:rsid w:val="00B9023D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D9D"/>
  <w15:chartTrackingRefBased/>
  <w15:docId w15:val="{E4E9E8D9-08F6-46AA-9D8A-4594609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79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qFormat/>
    <w:rsid w:val="003537D4"/>
    <w:pPr>
      <w:keepNext/>
      <w:keepLines/>
      <w:tabs>
        <w:tab w:val="left" w:pos="720"/>
        <w:tab w:val="left" w:pos="1008"/>
      </w:tabs>
      <w:spacing w:after="0" w:line="240" w:lineRule="auto"/>
      <w:jc w:val="thaiDistribute"/>
      <w:outlineLvl w:val="0"/>
    </w:pPr>
    <w:rPr>
      <w:rFonts w:ascii="Times New Roman" w:eastAsia="Times New Roman" w:hAnsi="Times New Roman" w:cs="TH SarabunPSK"/>
      <w:color w:val="000000"/>
      <w:sz w:val="24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37D4"/>
    <w:rPr>
      <w:rFonts w:ascii="Times New Roman" w:eastAsia="Times New Roman" w:hAnsi="Times New Roman" w:cs="TH SarabunPSK"/>
      <w:color w:val="000000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5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7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3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la.psu.ac.th/document/nondegree/news/m63-580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ila.psu.ac.th/document/nondegree/news/v63-0258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6" ma:contentTypeDescription="สร้างเอกสารใหม่" ma:contentTypeScope="" ma:versionID="de8bcc3c642a4a76d390cc054fa1a91a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3a4c496de33ba49728ca8065762b2193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</documentManagement>
</p:properties>
</file>

<file path=customXml/itemProps1.xml><?xml version="1.0" encoding="utf-8"?>
<ds:datastoreItem xmlns:ds="http://schemas.openxmlformats.org/officeDocument/2006/customXml" ds:itemID="{26B96B74-CC0C-4B77-A0E8-202B73CE732D}"/>
</file>

<file path=customXml/itemProps2.xml><?xml version="1.0" encoding="utf-8"?>
<ds:datastoreItem xmlns:ds="http://schemas.openxmlformats.org/officeDocument/2006/customXml" ds:itemID="{138D0B17-2F35-403C-9645-C5B41AEF237E}"/>
</file>

<file path=customXml/itemProps3.xml><?xml version="1.0" encoding="utf-8"?>
<ds:datastoreItem xmlns:ds="http://schemas.openxmlformats.org/officeDocument/2006/customXml" ds:itemID="{A9C47AC1-D03A-4CA1-BC87-5158B3DB5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CLPD-COOP</dc:creator>
  <cp:keywords/>
  <dc:description/>
  <cp:lastModifiedBy>suthong saetang</cp:lastModifiedBy>
  <cp:revision>3</cp:revision>
  <cp:lastPrinted>2021-07-07T03:46:00Z</cp:lastPrinted>
  <dcterms:created xsi:type="dcterms:W3CDTF">2022-01-28T07:25:00Z</dcterms:created>
  <dcterms:modified xsi:type="dcterms:W3CDTF">2022-01-28T07:27:00Z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3537700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